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hint="eastAsia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-6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pacing w:val="-6"/>
          <w:sz w:val="44"/>
          <w:szCs w:val="44"/>
          <w:highlight w:val="none"/>
          <w:lang w:val="en-US" w:eastAsia="zh-CN"/>
        </w:rPr>
        <w:t>2023年度科技企业孵化平台绩效考评后补助奖励名单</w:t>
      </w:r>
    </w:p>
    <w:bookmarkEnd w:id="0"/>
    <w:p>
      <w:pPr>
        <w:pStyle w:val="2"/>
        <w:rPr>
          <w:rFonts w:hint="eastAsia"/>
        </w:rPr>
      </w:pPr>
    </w:p>
    <w:tbl>
      <w:tblPr>
        <w:tblStyle w:val="6"/>
        <w:tblW w:w="14543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1317"/>
        <w:gridCol w:w="2150"/>
        <w:gridCol w:w="2716"/>
        <w:gridCol w:w="2934"/>
        <w:gridCol w:w="2315"/>
        <w:gridCol w:w="1201"/>
        <w:gridCol w:w="1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tblHeader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孵化平台名称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承担单位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认定时间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补助金额（万元）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20244056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自治区级孵化器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联讯云谷科技企业孵化器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广西壹欧谷孵化器有限公司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9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28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经开区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20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  计</w:t>
            </w:r>
          </w:p>
        </w:tc>
        <w:tc>
          <w:tcPr>
            <w:tcW w:w="25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20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/>
    <w:sectPr>
      <w:pgSz w:w="16838" w:h="11906" w:orient="landscape"/>
      <w:pgMar w:top="1361" w:right="1531" w:bottom="1361" w:left="1531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4F2B2C"/>
    <w:rsid w:val="704F2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ordWrap w:val="0"/>
      <w:topLinePunct/>
      <w:spacing w:after="0" w:afterLines="0" w:line="600" w:lineRule="exact"/>
      <w:ind w:firstLine="880" w:firstLineChars="200"/>
    </w:pPr>
    <w:rPr>
      <w:rFonts w:ascii="Times New Roman" w:hAnsi="Times New Roman" w:eastAsia="仿宋_GB2312"/>
      <w:kern w:val="2"/>
      <w:sz w:val="32"/>
      <w:szCs w:val="24"/>
    </w:rPr>
  </w:style>
  <w:style w:type="paragraph" w:styleId="3">
    <w:name w:val="Body Text"/>
    <w:basedOn w:val="1"/>
    <w:next w:val="4"/>
    <w:qFormat/>
    <w:uiPriority w:val="0"/>
    <w:rPr>
      <w:rFonts w:ascii="Times New Roman" w:hAnsi="Times New Roman" w:eastAsia="华文中宋"/>
      <w:sz w:val="36"/>
      <w:szCs w:val="24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2024-09-02T09:49:00Z</dcterms:created>
  <dc:creator>lenovo11</dc:creator>
  <cp:lastModifiedBy>lenovo11</cp:lastModifiedBy>
  <dcterms:modified xsi:type="dcterms:W3CDTF">2024-09-02T09:50:10Z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